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2019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5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дугаар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        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хавсралт</w:t>
      </w:r>
      <w:proofErr w:type="spellEnd"/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bookmarkStart w:id="0" w:name="_GoBack"/>
      <w:r>
        <w:rPr>
          <w:rStyle w:val="Strong"/>
          <w:rFonts w:ascii="Arial" w:hAnsi="Arial" w:cs="Arial"/>
          <w:color w:val="333333"/>
          <w:sz w:val="18"/>
          <w:szCs w:val="18"/>
        </w:rPr>
        <w:t>ТӨРИЙН АЛБАН ХААГЧИД ШАГНАЛ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ОЛГОХ ЖУРАМ</w:t>
      </w:r>
    </w:p>
    <w:bookmarkEnd w:id="0"/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Нэг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Нийтлэг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үндэслэл</w:t>
      </w:r>
      <w:proofErr w:type="spellEnd"/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дэвшүүлэх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олгохтой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харилцааг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зохицуулна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хөгжил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ёсыг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бэхжүүлэх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үйлсэд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бодитой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хувь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нэмэр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оруулсан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гадаад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иргэнд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журамд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медалиар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шагнуулахаар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дэвшүүлэхэд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хамаарахгүй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цэцийн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гишүүн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шүүхийн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шүүгч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прокурор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Зэвсэгт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хүчин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батлан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хамгаалах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дотоодын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тагнуул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цагдаа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онцгой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байдал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шүүхийн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шийдвэр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гүйцэтгэх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Авлигатай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тусгай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салбарын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асуудлыг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гишүүн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цэцийн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ерөнхий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прокурор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Авлигатай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Шүүхийн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ерөнхий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зөвлөл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журамд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нийцүүлэн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баталж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мөрдүүлнэ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дарааллаар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Мөнгөн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дурсгахаас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давхардуулан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бөгөөд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өмнөх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түвшингээс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ахисан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сахилгын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ёс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зөрчилгүй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1.2-т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болзлыг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өмнөх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хойш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З-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доошгүй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зарчим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баримтална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 xml:space="preserve">1.6.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мөнгөн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олгоход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шаардагдах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хөрөнгийн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үүсвэрийг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төсөвт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тусгана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журамд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мөнгөн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олгоход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мөнгө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дагалдахгүй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Хоёр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шагнал</w:t>
      </w:r>
      <w:proofErr w:type="spellEnd"/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“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салбарын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тэргүүний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ажилтан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хүндэт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төрөлтэй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15-аас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доошгүй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ажилласан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12-оос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доошгүй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салбарын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тэргүүний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ажилтан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хүндэт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онцгой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чухал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буюу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түвэгтэй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даалгавар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биелүүлсэн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шагнахад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харгалзахгүй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улаан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хүрэн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өнгийн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30-32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өргөн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20-22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зузаан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,5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хавтастай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хавтасны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нүүрэн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сүлд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доод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хэсэгт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хэвлэсэн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доторх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зүүн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хуудасны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хэсэгт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соёмбо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хувийн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дугаар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өдөр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баруун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хуудсанд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салбарын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онцлогийг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тусгасан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талархлын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Ерөнхий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сайдын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үсэг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зурах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зайтай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байхаар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хэвлэсэн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2.4. “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салбарын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тэргүүний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ажилтан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хүндэт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салбар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мэргэжлийн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чиглэл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онцлогийг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бэлгэдсэн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дүрслэлтэй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оноосон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хэсэгт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соёмбо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дүрсэлсэн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40-45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өргөн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20-22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зузаан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2,5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мм-ээс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илүүгүй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Хүндэт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хувийн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дугаартай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тушаалтны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үсэг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үнэмлэхтэй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Хүндэт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загварыг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салбарын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асуудал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эрхэлсэн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гишүүн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батална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баяр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наадам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чөлөө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тусгаар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тогтнолоо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сэргээсний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баярын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өдрийг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тохиолдуулан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 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Гурав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шагнал</w:t>
      </w:r>
      <w:proofErr w:type="spellEnd"/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 xml:space="preserve">  3.1.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мөнгөн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төрөлтэй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3.2.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5-аас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доошгүй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загварыг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этгээд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батална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Мөнгөн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онцгой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чухал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буюу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түвэгтэй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даалгавар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биелүүлсэн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үйл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үйлчилгээг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сайжруулах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чиглэлээр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санаачилга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гаргаж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хэрэглээнд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нэвтрүүлсэн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удирдлагын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шийдвэрээр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мөнгөн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цалинг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1.5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дахин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нэмэгдүүлсэнтэй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тэнцэх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хүртэл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3.4.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Төрийн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байгууллагад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тогтвор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суурьшил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бүтээлтэи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̆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төрийн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насны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̆,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тэмдэглэлт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үйл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явдлыг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тохиолдуулан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хүртэл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төгрөгийн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зүйлээр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зүйлээр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тэмдэглэлт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үйл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явдлыг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Хөдөлмөрийн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дотоод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журамд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тусгаж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мөрдөнө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3.5.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3.3, 3.4-т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олгоход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ажилласан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жилийг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харгалзахгүй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 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Дөрөв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Шагналд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дэвшүүлэх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тодорхойлох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олгох</w:t>
      </w:r>
      <w:proofErr w:type="spellEnd"/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шагнуулахаар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дараахь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дэвшүүлж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 xml:space="preserve">       4.1.1.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2.2-т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болзлыг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удирдлага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дэвшүүлж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хурлаар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хэлэлцүүлэн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тодорхойлолтыг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агентлаг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нийслэлийн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иргэдийн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Төлөөлөгчдийн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Хурлын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Тэргүүлэгчид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даргаар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уламжлан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ирүүлнэ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 4.1.2.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Хурлын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Тамгын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Ерөнхийлөгчийн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Тамгын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ерөнхий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прокурор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Шүүхийн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ерөнхий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зөвлөл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комисс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зөвлөл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байдлын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зөвлөлийн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Авлигатай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Монголбанк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Хуралд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ажлаа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шууд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хариуцан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тайлагнадаг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дэвшүүлэхэд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4.1.1-т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баримтална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 4.1.3.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дэвшигчийг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тодорхойлохдоо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дурдсан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материалыг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бүрдүүлнэ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4.1.3.а.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гишүүний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баталсан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загварын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анкет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4.1.3.б.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хурлын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тэмдэглэл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4.1.3.в.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гүйцэтгэлийн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үзүүлэлт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        4.1.3.г.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урьд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шагнагдсан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тэмдэглэл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4.1.3.д.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онцгой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гаргасан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түүнийг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баримт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нотолгооны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хуулбар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;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4.1.3.е.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шагнуулах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тушаалтны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үсэг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3.2-т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болзлыг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шагнуулахаар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удирдлага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дэвшүүлж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хурлаар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хэлэлцүүлэн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этгээдэд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тодорхойлолтыг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хүргүүлнэ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шагнуулахаар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дэвшигчийг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тодорхойлоход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4.1.3-т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материалыг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адил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бүрдүүлнэ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дэвшигчийн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тодорхойлолтыг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дутуу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эсхүл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хуурамчаар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бүрдүүлсэн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дэвшүүлэх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болзлыг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хангаагүй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нэрийг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дэвшүүлсэн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тохиолдолд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асуудлыг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хэлэлцэхгүй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бөгөөд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материалыг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илгээсэн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буцааж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буруутай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тушаалтанд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хариуцлага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хүлээлгэнэ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Жуух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Ерөнхий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сайдын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захирамжаар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“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салбарын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тэргүүний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ажилтан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хүндэт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гишүүний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шийдвэрээр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тушаалтны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тушаал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хамтын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удирдлагын</w:t>
      </w:r>
      <w:proofErr w:type="spellEnd"/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байгууллагын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шийдвэрээр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Тав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Бусад</w:t>
      </w:r>
      <w:proofErr w:type="spellEnd"/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медаль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журамд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шагнагдсан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мэдээллийн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одон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медаль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журамд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шагналаар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шагнуулсан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мэдээллийг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15.1-д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дагуу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албан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хаагчийн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хувийн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тэмдэглэж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хадгална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  <w:t>      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-----о0о-----</w:t>
      </w:r>
    </w:p>
    <w:p w:rsidR="00E0310B" w:rsidRDefault="00E0310B" w:rsidP="00E0310B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C00BE" w:rsidRDefault="003C00BE"/>
    <w:sectPr w:rsidR="003C0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8"/>
    <w:rsid w:val="00301508"/>
    <w:rsid w:val="003C00BE"/>
    <w:rsid w:val="0056482B"/>
    <w:rsid w:val="00E0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1DDB4-A408-4143-913E-11FF3FEB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NSUG</dc:creator>
  <cp:keywords/>
  <dc:description/>
  <cp:lastModifiedBy>NSUG</cp:lastModifiedBy>
  <cp:revision>2</cp:revision>
  <dcterms:created xsi:type="dcterms:W3CDTF">2019-04-05T01:26:00Z</dcterms:created>
  <dcterms:modified xsi:type="dcterms:W3CDTF">2019-04-05T01:26:00Z</dcterms:modified>
</cp:coreProperties>
</file>